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98" w:rsidRDefault="00851F1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236298" w:rsidRDefault="00851F1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236298" w:rsidRDefault="00851F1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236298" w:rsidRDefault="00851F1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60-25854/2025</w:t>
      </w:r>
    </w:p>
    <w:p w:rsidR="00236298" w:rsidRDefault="00851F18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236298" w:rsidRDefault="00851F18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236298" w:rsidRDefault="00851F18">
      <w:pPr>
        <w:jc w:val="center"/>
        <w:rPr>
          <w:b/>
          <w:sz w:val="22"/>
        </w:rPr>
      </w:pPr>
      <w:r>
        <w:rPr>
          <w:b/>
          <w:sz w:val="22"/>
        </w:rPr>
        <w:t xml:space="preserve">Глушкова Алексея Николаевича </w:t>
      </w:r>
    </w:p>
    <w:p w:rsidR="00236298" w:rsidRDefault="00236298">
      <w:pPr>
        <w:jc w:val="center"/>
        <w:rPr>
          <w:b/>
          <w:sz w:val="22"/>
        </w:rPr>
      </w:pPr>
    </w:p>
    <w:p w:rsidR="00236298" w:rsidRDefault="00851F18">
      <w:pPr>
        <w:pStyle w:val="a7"/>
        <w:numPr>
          <w:ilvl w:val="0"/>
          <w:numId w:val="1"/>
        </w:numPr>
        <w:jc w:val="center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Общие положения</w:t>
      </w:r>
    </w:p>
    <w:p w:rsidR="00236298" w:rsidRDefault="00851F1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Настоящее Положение о порядке, условиях и сроках продажи имущества (далее – «Положение») </w:t>
      </w:r>
      <w:r>
        <w:rPr>
          <w:rFonts w:cs="Times New Roman"/>
          <w:sz w:val="22"/>
        </w:rPr>
        <w:t>Глушков</w:t>
      </w:r>
      <w:r>
        <w:rPr>
          <w:rFonts w:cs="Times New Roman"/>
          <w:sz w:val="22"/>
        </w:rPr>
        <w:t xml:space="preserve"> Алексей Николаевич </w:t>
      </w:r>
      <w:r>
        <w:rPr>
          <w:sz w:val="22"/>
          <w:szCs w:val="21"/>
        </w:rPr>
        <w:t>(ИНН 667330078490, 09.04.1965 г.р., место рождения: гор. Свердловск, СНИЛС 022-472-583-30, адрес регистрации: 624052, Свердловская обл., р-н</w:t>
      </w:r>
      <w:r>
        <w:rPr>
          <w:sz w:val="22"/>
          <w:szCs w:val="21"/>
        </w:rPr>
        <w:t xml:space="preserve"> Белоярский, с. Малобрусянское, ул. Малиновая, д. 15)</w:t>
      </w:r>
      <w:r>
        <w:rPr>
          <w:sz w:val="22"/>
        </w:rPr>
        <w:t xml:space="preserve">, </w:t>
      </w:r>
      <w:r>
        <w:rPr>
          <w:rFonts w:cs="Times New Roman"/>
          <w:sz w:val="22"/>
        </w:rPr>
        <w:t>признанн</w:t>
      </w:r>
      <w:r>
        <w:rPr>
          <w:rFonts w:cs="Times New Roman"/>
          <w:sz w:val="22"/>
        </w:rPr>
        <w:t>ого</w:t>
      </w:r>
      <w:r>
        <w:rPr>
          <w:rFonts w:cs="Times New Roman"/>
          <w:sz w:val="22"/>
        </w:rPr>
        <w:t xml:space="preserve"> 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</w:rPr>
        <w:t>Свердловской</w:t>
      </w:r>
      <w:r>
        <w:rPr>
          <w:sz w:val="22"/>
        </w:rPr>
        <w:t xml:space="preserve"> области </w:t>
      </w:r>
      <w:r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>03.06.2025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>60</w:t>
      </w:r>
      <w:r>
        <w:rPr>
          <w:sz w:val="22"/>
        </w:rPr>
        <w:t>-</w:t>
      </w:r>
      <w:r>
        <w:rPr>
          <w:sz w:val="22"/>
        </w:rPr>
        <w:t>25854</w:t>
      </w:r>
      <w:r>
        <w:rPr>
          <w:sz w:val="22"/>
        </w:rPr>
        <w:t>/202</w:t>
      </w:r>
      <w:r>
        <w:rPr>
          <w:sz w:val="22"/>
        </w:rPr>
        <w:t>5</w:t>
      </w:r>
      <w:r>
        <w:rPr>
          <w:rFonts w:cs="Times New Roman"/>
          <w:sz w:val="22"/>
        </w:rPr>
        <w:t xml:space="preserve"> (далее – «Должник»), разработано финансовым управляющим в соответствии со ст. 13.26, ст. 110, ст. 111, ст. 138, ст. 139 Федерального закона «О несостоятельности (банкротстве)» от 26.10.2022г. № 127-ФЗ (далее – «Закон о банкротстве»), а также иными нормати</w:t>
      </w:r>
      <w:r>
        <w:rPr>
          <w:rFonts w:cs="Times New Roman"/>
          <w:sz w:val="22"/>
        </w:rPr>
        <w:t>вными правовыми актами, регулирующими данные правоотношения.</w:t>
      </w:r>
    </w:p>
    <w:p w:rsidR="00236298" w:rsidRDefault="00236298">
      <w:pPr>
        <w:rPr>
          <w:rFonts w:cs="Times New Roman"/>
          <w:sz w:val="22"/>
        </w:rPr>
      </w:pP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Положение определяет имущество должника, подлежащее реализации в соответствии с настоящим Положением, его состав, характеристики, сроки его продажи, форму торгов, форму предоставления предложени</w:t>
      </w:r>
      <w:r>
        <w:rPr>
          <w:rFonts w:cs="Times New Roman"/>
          <w:sz w:val="22"/>
        </w:rPr>
        <w:t>й о цене имущества, начальную цену его продажи, средства массовой информации и сайт(ы) в сети Интернет для опубликования и размещения сообщений о продаже имущества, сроки опубликования и размещения указанных сообщений, определяет порядок, условия организац</w:t>
      </w:r>
      <w:r>
        <w:rPr>
          <w:rFonts w:cs="Times New Roman"/>
          <w:sz w:val="22"/>
        </w:rPr>
        <w:t>ии порядок продаж имущества Должника посредством публичного предложения и пр.</w:t>
      </w:r>
    </w:p>
    <w:p w:rsidR="00236298" w:rsidRDefault="00236298">
      <w:pPr>
        <w:pStyle w:val="a7"/>
        <w:ind w:left="709" w:firstLine="0"/>
        <w:rPr>
          <w:rFonts w:cs="Times New Roman"/>
          <w:sz w:val="22"/>
        </w:rPr>
      </w:pP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Имущество должника подлежит реализации в форме публичного предложения:</w:t>
      </w:r>
    </w:p>
    <w:p w:rsidR="00236298" w:rsidRDefault="00236298">
      <w:pPr>
        <w:pStyle w:val="a7"/>
        <w:ind w:left="709" w:firstLine="0"/>
        <w:rPr>
          <w:rFonts w:cs="Times New Roman"/>
          <w:sz w:val="22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336"/>
        <w:gridCol w:w="4700"/>
        <w:gridCol w:w="2159"/>
        <w:gridCol w:w="2160"/>
      </w:tblGrid>
      <w:tr w:rsidR="00236298">
        <w:tc>
          <w:tcPr>
            <w:tcW w:w="331" w:type="dxa"/>
          </w:tcPr>
          <w:p w:rsidR="00236298" w:rsidRDefault="00236298">
            <w:pPr>
              <w:pStyle w:val="a7"/>
              <w:ind w:left="0" w:firstLine="0"/>
              <w:rPr>
                <w:rFonts w:cs="Times New Roman"/>
              </w:rPr>
            </w:pPr>
          </w:p>
        </w:tc>
        <w:tc>
          <w:tcPr>
            <w:tcW w:w="4700" w:type="dxa"/>
          </w:tcPr>
          <w:p w:rsidR="00236298" w:rsidRDefault="00851F18">
            <w:pPr>
              <w:pStyle w:val="a7"/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tcW w:w="2159" w:type="dxa"/>
          </w:tcPr>
          <w:p w:rsidR="00236298" w:rsidRDefault="00851F18">
            <w:pPr>
              <w:pStyle w:val="a7"/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Количество, шт.</w:t>
            </w:r>
          </w:p>
        </w:tc>
        <w:tc>
          <w:tcPr>
            <w:tcW w:w="2160" w:type="dxa"/>
          </w:tcPr>
          <w:p w:rsidR="00236298" w:rsidRDefault="00851F18">
            <w:pPr>
              <w:pStyle w:val="a7"/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Начальная стоимость, руб.</w:t>
            </w:r>
          </w:p>
        </w:tc>
      </w:tr>
      <w:tr w:rsidR="00236298">
        <w:tc>
          <w:tcPr>
            <w:tcW w:w="331" w:type="dxa"/>
          </w:tcPr>
          <w:p w:rsidR="00236298" w:rsidRDefault="00851F18">
            <w:pPr>
              <w:pStyle w:val="a7"/>
              <w:ind w:left="0" w:firstLine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700" w:type="dxa"/>
          </w:tcPr>
          <w:p w:rsidR="00236298" w:rsidRDefault="00851F18">
            <w:pPr>
              <w:pStyle w:val="indent"/>
              <w:spacing w:before="0" w:after="0"/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 универсал ВАЗ 21043, 2004 г.в., </w:t>
            </w:r>
            <w:r>
              <w:rPr>
                <w:sz w:val="22"/>
                <w:szCs w:val="22"/>
                <w:lang w:val="en-US"/>
              </w:rPr>
              <w:t>VIN</w:t>
            </w:r>
            <w:r w:rsidRPr="00873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XTK</w:t>
            </w:r>
            <w:r w:rsidRPr="00873605">
              <w:rPr>
                <w:sz w:val="22"/>
                <w:szCs w:val="22"/>
              </w:rPr>
              <w:t>21043040016312</w:t>
            </w:r>
            <w:r>
              <w:rPr>
                <w:sz w:val="22"/>
                <w:szCs w:val="22"/>
              </w:rPr>
              <w:t xml:space="preserve">, № кузова </w:t>
            </w:r>
            <w:r>
              <w:rPr>
                <w:sz w:val="22"/>
                <w:szCs w:val="22"/>
                <w:lang w:val="en-US"/>
              </w:rPr>
              <w:t>XTK</w:t>
            </w:r>
            <w:r w:rsidRPr="00873605">
              <w:rPr>
                <w:sz w:val="22"/>
                <w:szCs w:val="22"/>
              </w:rPr>
              <w:t>21043040016312</w:t>
            </w:r>
            <w:r>
              <w:rPr>
                <w:sz w:val="22"/>
                <w:szCs w:val="22"/>
              </w:rPr>
              <w:t>, ГРЗ В022УА196, цвет темно-синий. Автомобиль не на ходу.</w:t>
            </w:r>
            <w:bookmarkStart w:id="0" w:name="_GoBack"/>
            <w:bookmarkEnd w:id="0"/>
          </w:p>
        </w:tc>
        <w:tc>
          <w:tcPr>
            <w:tcW w:w="2159" w:type="dxa"/>
          </w:tcPr>
          <w:p w:rsidR="00236298" w:rsidRDefault="00851F18">
            <w:pPr>
              <w:pStyle w:val="a7"/>
              <w:ind w:lef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60" w:type="dxa"/>
          </w:tcPr>
          <w:p w:rsidR="00236298" w:rsidRDefault="00851F18">
            <w:pPr>
              <w:pStyle w:val="a7"/>
              <w:ind w:left="0" w:firstLine="0"/>
              <w:jc w:val="center"/>
              <w:rPr>
                <w:rFonts w:cs="Times New Roman"/>
              </w:rPr>
            </w:pPr>
            <w:r>
              <w:rPr>
                <w:sz w:val="22"/>
              </w:rPr>
              <w:t>89 600</w:t>
            </w:r>
          </w:p>
        </w:tc>
      </w:tr>
    </w:tbl>
    <w:p w:rsidR="00236298" w:rsidRDefault="00236298">
      <w:pPr>
        <w:pStyle w:val="a7"/>
        <w:ind w:left="709" w:firstLine="0"/>
        <w:rPr>
          <w:rFonts w:cs="Times New Roman"/>
          <w:sz w:val="22"/>
        </w:rPr>
      </w:pP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Начальная стоимость имущества формировалась на основании описи и оценки имущества должника, пров</w:t>
      </w:r>
      <w:r>
        <w:rPr>
          <w:rFonts w:cs="Times New Roman"/>
          <w:sz w:val="22"/>
        </w:rPr>
        <w:t>еденной финансовым управляющим на основании решения об оценке.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Продажа имущества Должника осуществляется в форме публичного предложения. Продажа имущества проводится финансовым управляющим без привлечения электронных площадок. </w:t>
      </w:r>
    </w:p>
    <w:p w:rsidR="00236298" w:rsidRDefault="00236298">
      <w:pPr>
        <w:pStyle w:val="a7"/>
        <w:ind w:left="709" w:firstLine="0"/>
        <w:rPr>
          <w:rFonts w:cs="Times New Roman"/>
          <w:sz w:val="22"/>
        </w:rPr>
      </w:pPr>
    </w:p>
    <w:p w:rsidR="00236298" w:rsidRDefault="00851F18">
      <w:pPr>
        <w:pStyle w:val="a7"/>
        <w:numPr>
          <w:ilvl w:val="0"/>
          <w:numId w:val="1"/>
        </w:numPr>
        <w:jc w:val="center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 xml:space="preserve">Функции финансового </w:t>
      </w:r>
      <w:r>
        <w:rPr>
          <w:rFonts w:cs="Times New Roman"/>
          <w:b/>
          <w:i/>
          <w:sz w:val="22"/>
        </w:rPr>
        <w:t>управляющего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Организация и проведение мероприятий по продаже имущества Должника осуществляется финансовым управляющим Должника.</w:t>
      </w:r>
    </w:p>
    <w:p w:rsidR="00236298" w:rsidRDefault="00236298">
      <w:pPr>
        <w:pStyle w:val="a7"/>
        <w:ind w:left="709" w:firstLine="0"/>
        <w:rPr>
          <w:rFonts w:cs="Times New Roman"/>
          <w:sz w:val="22"/>
        </w:rPr>
      </w:pPr>
    </w:p>
    <w:p w:rsidR="00236298" w:rsidRDefault="00851F18">
      <w:pPr>
        <w:pStyle w:val="a7"/>
        <w:numPr>
          <w:ilvl w:val="0"/>
          <w:numId w:val="1"/>
        </w:numPr>
        <w:jc w:val="center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Сообщение о реализации имущества в форме публичного предложения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 с момента утверждения настоящего положен</w:t>
      </w:r>
      <w:r>
        <w:rPr>
          <w:rFonts w:cs="Times New Roman"/>
          <w:sz w:val="22"/>
        </w:rPr>
        <w:t>ия  осуществляет публикацию и размещение текста сообщения о торгах на сайте Единого Федерального Реестра Сведений о банкротстве.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Текст сообщения должен содержать предмет торгов, форму торгов, размер начальной цены, шаг и периодичность снижения цены, цену о</w:t>
      </w:r>
      <w:r>
        <w:rPr>
          <w:rFonts w:cs="Times New Roman"/>
          <w:sz w:val="22"/>
        </w:rPr>
        <w:t xml:space="preserve">тсечения, место приёма заявок, телефон организатора торгов. </w:t>
      </w:r>
    </w:p>
    <w:p w:rsidR="00236298" w:rsidRDefault="00236298">
      <w:pPr>
        <w:pStyle w:val="a7"/>
        <w:ind w:left="0" w:firstLine="0"/>
        <w:rPr>
          <w:rFonts w:cs="Times New Roman"/>
          <w:sz w:val="22"/>
        </w:rPr>
      </w:pPr>
    </w:p>
    <w:p w:rsidR="00236298" w:rsidRDefault="00236298">
      <w:pPr>
        <w:pStyle w:val="a7"/>
        <w:ind w:left="0" w:firstLine="0"/>
        <w:rPr>
          <w:rFonts w:cs="Times New Roman"/>
          <w:sz w:val="22"/>
        </w:rPr>
      </w:pPr>
    </w:p>
    <w:p w:rsidR="00236298" w:rsidRDefault="00851F18">
      <w:pPr>
        <w:pStyle w:val="a7"/>
        <w:numPr>
          <w:ilvl w:val="0"/>
          <w:numId w:val="1"/>
        </w:numPr>
        <w:jc w:val="center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Представление заявок на участие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sz w:val="22"/>
          <w:szCs w:val="21"/>
        </w:rPr>
      </w:pPr>
      <w:r>
        <w:rPr>
          <w:rFonts w:cs="Times New Roman"/>
          <w:sz w:val="22"/>
        </w:rPr>
        <w:lastRenderedPageBreak/>
        <w:t>Для участия в торгах посредством публичного предложения заявитель представляет финансовому управляющему письменную заявку.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sz w:val="22"/>
          <w:szCs w:val="21"/>
        </w:rPr>
      </w:pPr>
      <w:r>
        <w:rPr>
          <w:sz w:val="22"/>
          <w:szCs w:val="21"/>
        </w:rPr>
        <w:t>В обеспечение исполнения будущего обяз</w:t>
      </w:r>
      <w:r>
        <w:rPr>
          <w:sz w:val="22"/>
          <w:szCs w:val="21"/>
        </w:rPr>
        <w:t>ательства участнику необходимо внести задаток в размере 20% от начальной цены имущества, путем перечисления денежных средств на основной счет Должника или на расчетный счет Организатора торгов.</w:t>
      </w:r>
    </w:p>
    <w:p w:rsidR="00236298" w:rsidRDefault="00851F18">
      <w:pPr>
        <w:numPr>
          <w:ilvl w:val="1"/>
          <w:numId w:val="1"/>
        </w:numPr>
        <w:ind w:left="0" w:firstLine="709"/>
        <w:rPr>
          <w:sz w:val="22"/>
          <w:szCs w:val="21"/>
        </w:rPr>
      </w:pPr>
      <w:r>
        <w:rPr>
          <w:sz w:val="22"/>
          <w:szCs w:val="21"/>
        </w:rPr>
        <w:t xml:space="preserve">В течение пяти календарных дней с даты подписания протокола о </w:t>
      </w:r>
      <w:r>
        <w:rPr>
          <w:sz w:val="22"/>
          <w:szCs w:val="21"/>
        </w:rPr>
        <w:t>результатах проведения торгов финансовый управляющий направляет Победителю торгов предложение заключить договор купли</w:t>
      </w:r>
      <w:r w:rsidR="00873605">
        <w:rPr>
          <w:sz w:val="22"/>
          <w:szCs w:val="21"/>
        </w:rPr>
        <w:t>-</w:t>
      </w:r>
      <w:r>
        <w:rPr>
          <w:sz w:val="22"/>
          <w:szCs w:val="21"/>
        </w:rPr>
        <w:t xml:space="preserve">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:rsidR="00236298" w:rsidRDefault="00851F18">
      <w:pPr>
        <w:numPr>
          <w:ilvl w:val="1"/>
          <w:numId w:val="1"/>
        </w:numPr>
        <w:ind w:left="0" w:firstLine="709"/>
        <w:rPr>
          <w:sz w:val="22"/>
          <w:szCs w:val="21"/>
        </w:rPr>
      </w:pPr>
      <w:r>
        <w:rPr>
          <w:sz w:val="22"/>
          <w:szCs w:val="21"/>
        </w:rPr>
        <w:t xml:space="preserve">4.4.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:rsidR="00236298" w:rsidRDefault="00851F18">
      <w:pPr>
        <w:numPr>
          <w:ilvl w:val="1"/>
          <w:numId w:val="1"/>
        </w:numPr>
        <w:ind w:left="0" w:firstLine="709"/>
        <w:rPr>
          <w:sz w:val="22"/>
          <w:szCs w:val="21"/>
        </w:rPr>
      </w:pPr>
      <w:r>
        <w:rPr>
          <w:sz w:val="22"/>
          <w:szCs w:val="21"/>
        </w:rPr>
        <w:t>4.5. Оплата приобр</w:t>
      </w:r>
      <w:r>
        <w:rPr>
          <w:sz w:val="22"/>
          <w:szCs w:val="21"/>
        </w:rPr>
        <w:t>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основной счет Должника или на расчетный счет Организатора торгов. Внес</w:t>
      </w:r>
      <w:r>
        <w:rPr>
          <w:sz w:val="22"/>
          <w:szCs w:val="21"/>
        </w:rPr>
        <w:t xml:space="preserve">енный Победителем торгов задаток засчитывается в счет оплаты стоимости проданного на торгах Имущества. </w:t>
      </w:r>
    </w:p>
    <w:p w:rsidR="00236298" w:rsidRDefault="00851F18">
      <w:pPr>
        <w:numPr>
          <w:ilvl w:val="1"/>
          <w:numId w:val="1"/>
        </w:numPr>
        <w:ind w:left="0" w:firstLine="709"/>
        <w:rPr>
          <w:sz w:val="22"/>
          <w:szCs w:val="21"/>
        </w:rPr>
      </w:pPr>
      <w:r>
        <w:rPr>
          <w:sz w:val="22"/>
          <w:szCs w:val="21"/>
        </w:rPr>
        <w:t>4.6.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</w:t>
      </w:r>
      <w:r>
        <w:rPr>
          <w:sz w:val="22"/>
          <w:szCs w:val="21"/>
        </w:rPr>
        <w:t xml:space="preserve">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:rsidR="00236298" w:rsidRDefault="00851F18">
      <w:pPr>
        <w:numPr>
          <w:ilvl w:val="1"/>
          <w:numId w:val="1"/>
        </w:numPr>
        <w:ind w:left="0" w:firstLine="709"/>
        <w:rPr>
          <w:sz w:val="22"/>
          <w:szCs w:val="21"/>
        </w:rPr>
      </w:pPr>
      <w:r>
        <w:rPr>
          <w:sz w:val="22"/>
          <w:szCs w:val="21"/>
        </w:rPr>
        <w:t>4.7. Возврат и удержание задатков.</w:t>
      </w:r>
    </w:p>
    <w:p w:rsidR="00236298" w:rsidRDefault="00851F18">
      <w:pPr>
        <w:numPr>
          <w:ilvl w:val="0"/>
          <w:numId w:val="2"/>
        </w:numPr>
        <w:rPr>
          <w:sz w:val="22"/>
          <w:szCs w:val="21"/>
        </w:rPr>
      </w:pPr>
      <w:r>
        <w:rPr>
          <w:sz w:val="22"/>
          <w:szCs w:val="21"/>
        </w:rPr>
        <w:t>Задаток, внесенный для участия в торгах, возвращает</w:t>
      </w:r>
      <w:r>
        <w:rPr>
          <w:sz w:val="22"/>
          <w:szCs w:val="21"/>
        </w:rPr>
        <w:t xml:space="preserve">ся: </w:t>
      </w:r>
    </w:p>
    <w:p w:rsidR="00236298" w:rsidRDefault="00851F18">
      <w:pPr>
        <w:ind w:firstLine="0"/>
        <w:rPr>
          <w:sz w:val="22"/>
          <w:szCs w:val="21"/>
        </w:rPr>
      </w:pPr>
      <w:r>
        <w:rPr>
          <w:sz w:val="22"/>
          <w:szCs w:val="21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участников торгов. </w:t>
      </w:r>
    </w:p>
    <w:p w:rsidR="00236298" w:rsidRDefault="00851F18">
      <w:pPr>
        <w:ind w:firstLine="0"/>
        <w:rPr>
          <w:sz w:val="22"/>
          <w:szCs w:val="21"/>
        </w:rPr>
      </w:pPr>
      <w:r>
        <w:rPr>
          <w:sz w:val="22"/>
          <w:szCs w:val="21"/>
        </w:rPr>
        <w:t xml:space="preserve">б) Претенденту, отозвавшему заявку на участие </w:t>
      </w:r>
      <w:r>
        <w:rPr>
          <w:sz w:val="22"/>
          <w:szCs w:val="21"/>
        </w:rPr>
        <w:t xml:space="preserve">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236298" w:rsidRDefault="00851F18">
      <w:pPr>
        <w:ind w:firstLine="0"/>
        <w:rPr>
          <w:sz w:val="22"/>
          <w:szCs w:val="21"/>
        </w:rPr>
      </w:pPr>
      <w:r>
        <w:rPr>
          <w:sz w:val="22"/>
          <w:szCs w:val="21"/>
        </w:rPr>
        <w:t>в) Участникам торгов, не ставшим победител</w:t>
      </w:r>
      <w:r>
        <w:rPr>
          <w:sz w:val="22"/>
          <w:szCs w:val="21"/>
        </w:rPr>
        <w:t xml:space="preserve">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236298" w:rsidRDefault="00851F18">
      <w:pPr>
        <w:ind w:firstLine="0"/>
        <w:rPr>
          <w:sz w:val="22"/>
          <w:szCs w:val="21"/>
        </w:rPr>
      </w:pPr>
      <w:r>
        <w:rPr>
          <w:sz w:val="22"/>
          <w:szCs w:val="21"/>
        </w:rPr>
        <w:t>г) Участникам торгов в случае признания торгов несостоявшимися - суммы внесенных задатков возвращаются в течени</w:t>
      </w:r>
      <w:r>
        <w:rPr>
          <w:sz w:val="22"/>
          <w:szCs w:val="21"/>
        </w:rPr>
        <w:t xml:space="preserve">е пяти рабочих дней с даты принятия Организатором торгов решения об объявлении торгов несостоявшимися. </w:t>
      </w:r>
    </w:p>
    <w:p w:rsidR="00236298" w:rsidRDefault="00851F18">
      <w:pPr>
        <w:numPr>
          <w:ilvl w:val="0"/>
          <w:numId w:val="2"/>
        </w:numPr>
        <w:rPr>
          <w:sz w:val="22"/>
          <w:szCs w:val="21"/>
        </w:rPr>
      </w:pPr>
      <w:r>
        <w:rPr>
          <w:sz w:val="22"/>
          <w:szCs w:val="21"/>
        </w:rPr>
        <w:t xml:space="preserve">Внесенный задаток не возвращается Победителю торгов в случае: </w:t>
      </w:r>
    </w:p>
    <w:p w:rsidR="00236298" w:rsidRDefault="00851F18">
      <w:pPr>
        <w:ind w:firstLine="0"/>
        <w:rPr>
          <w:sz w:val="22"/>
          <w:szCs w:val="21"/>
        </w:rPr>
      </w:pPr>
      <w:r>
        <w:rPr>
          <w:sz w:val="22"/>
          <w:szCs w:val="21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:rsidR="00236298" w:rsidRDefault="00851F18">
      <w:pPr>
        <w:ind w:firstLine="0"/>
        <w:rPr>
          <w:sz w:val="22"/>
          <w:szCs w:val="21"/>
        </w:rPr>
      </w:pPr>
      <w:r>
        <w:rPr>
          <w:sz w:val="22"/>
          <w:szCs w:val="21"/>
        </w:rPr>
        <w:t>б) уклонения от оплаты в установленный настоящим Положением и договором купли-продажи срок приобретенного на торгах Имущество</w:t>
      </w:r>
    </w:p>
    <w:p w:rsidR="00236298" w:rsidRDefault="00236298">
      <w:pPr>
        <w:pStyle w:val="a7"/>
        <w:ind w:left="709" w:firstLine="0"/>
        <w:rPr>
          <w:rFonts w:cs="Times New Roman"/>
          <w:sz w:val="22"/>
        </w:rPr>
      </w:pPr>
    </w:p>
    <w:p w:rsidR="00236298" w:rsidRDefault="00851F18">
      <w:pPr>
        <w:pStyle w:val="a7"/>
        <w:numPr>
          <w:ilvl w:val="0"/>
          <w:numId w:val="1"/>
        </w:numPr>
        <w:jc w:val="center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Продажа имущества Должник</w:t>
      </w:r>
      <w:r>
        <w:rPr>
          <w:rFonts w:cs="Times New Roman"/>
          <w:b/>
          <w:i/>
          <w:sz w:val="22"/>
        </w:rPr>
        <w:t>а посредством публичного предложения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Величина поэтапного снижения начальной цены устанавливается следующим образом: Период, в течение которого устанавливается начальная цена продажи имущества, составляет 15 (пятнадцать) календарных дней с момента начала пр</w:t>
      </w:r>
      <w:r>
        <w:rPr>
          <w:rFonts w:cs="Times New Roman"/>
          <w:sz w:val="22"/>
        </w:rPr>
        <w:t>иёма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10% от начальной продажной цены имущества, установленной в форме публичного предложен</w:t>
      </w:r>
      <w:r>
        <w:rPr>
          <w:rFonts w:cs="Times New Roman"/>
          <w:sz w:val="22"/>
        </w:rPr>
        <w:t>ия. Срок, по истечении которого последовательно снижается указанная начальная продажная цена, устанавливается длительностью 5 (пять) календарных дней.</w:t>
      </w:r>
    </w:p>
    <w:p w:rsidR="00236298" w:rsidRDefault="00851F1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Порог отсечения снижения минимальной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кредиторов. Если в течение 7 дней указанные лица не изъявят желания принять указа</w:t>
      </w:r>
      <w:r>
        <w:rPr>
          <w:rFonts w:cs="Times New Roman"/>
          <w:sz w:val="22"/>
        </w:rPr>
        <w:t xml:space="preserve">нное имущество в счет погашения своих требований, то в соответствии со ст. 213.26 Закона о банкротстве восстанавливается право гражданина на </w:t>
      </w:r>
      <w:r>
        <w:rPr>
          <w:rFonts w:cs="Times New Roman"/>
          <w:sz w:val="22"/>
        </w:rPr>
        <w:lastRenderedPageBreak/>
        <w:t xml:space="preserve">распоряжение указанным имуществом. При этом имущество, составляющее конкурсную массу и не реализованное финансовым </w:t>
      </w:r>
      <w:r>
        <w:rPr>
          <w:rFonts w:cs="Times New Roman"/>
          <w:sz w:val="22"/>
        </w:rPr>
        <w:t>управляющим, передается гражданину по акту приема-передачи.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</w:t>
      </w:r>
      <w:r>
        <w:rPr>
          <w:rFonts w:cs="Times New Roman"/>
          <w:sz w:val="22"/>
        </w:rPr>
        <w:t>периода проведения торгов, при отсутствии предложений других участников торгов.</w:t>
      </w:r>
    </w:p>
    <w:p w:rsidR="00236298" w:rsidRDefault="00851F1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</w:t>
      </w:r>
      <w:r>
        <w:rPr>
          <w:rFonts w:cs="Times New Roman"/>
          <w:sz w:val="22"/>
        </w:rPr>
        <w:t>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236298" w:rsidRDefault="00851F1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</w:t>
      </w:r>
      <w:r>
        <w:rPr>
          <w:rFonts w:cs="Times New Roman"/>
          <w:sz w:val="22"/>
        </w:rPr>
        <w:t xml:space="preserve">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</w:t>
      </w:r>
      <w:r>
        <w:rPr>
          <w:rFonts w:cs="Times New Roman"/>
          <w:sz w:val="22"/>
        </w:rPr>
        <w:t>е в торгах.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</w:t>
      </w:r>
      <w:r>
        <w:rPr>
          <w:rFonts w:cs="Times New Roman"/>
          <w:sz w:val="22"/>
        </w:rPr>
        <w:tab/>
        <w:t>управляющий не позднее чем через 10 дней с даты определения победителя торгов, подписывают договор купли-продажи имущества.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</w:t>
      </w:r>
      <w:r>
        <w:rPr>
          <w:rFonts w:cs="Times New Roman"/>
          <w:sz w:val="22"/>
        </w:rPr>
        <w:t>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Оплата покупа</w:t>
      </w:r>
      <w:r>
        <w:rPr>
          <w:rFonts w:cs="Times New Roman"/>
          <w:sz w:val="22"/>
        </w:rPr>
        <w:t>телем осуществляется в течение суток с момента заключения договора, но до передачи имущества и подписания акта приема-передачи имущества.</w:t>
      </w:r>
    </w:p>
    <w:p w:rsidR="00236298" w:rsidRDefault="00851F1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После осуществления реализации имущества по всем лотам финансовый управляющий направляет публикацию о результатах торг</w:t>
      </w:r>
      <w:r>
        <w:rPr>
          <w:rFonts w:cs="Times New Roman"/>
          <w:sz w:val="22"/>
        </w:rPr>
        <w:t>ов в Единый Федеральный реестр сведений о банкротстве в течение 5 рабочих дней.</w:t>
      </w:r>
    </w:p>
    <w:p w:rsidR="00236298" w:rsidRDefault="00236298">
      <w:pPr>
        <w:rPr>
          <w:rFonts w:cs="Times New Roman"/>
          <w:sz w:val="22"/>
        </w:rPr>
      </w:pPr>
    </w:p>
    <w:p w:rsidR="00236298" w:rsidRDefault="00851F18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236298" w:rsidRDefault="00851F18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Кубрак Е.А.</w:t>
      </w:r>
    </w:p>
    <w:p w:rsidR="00236298" w:rsidRDefault="00236298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236298" w:rsidSect="0023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18" w:rsidRDefault="00851F18">
      <w:r>
        <w:separator/>
      </w:r>
    </w:p>
  </w:endnote>
  <w:endnote w:type="continuationSeparator" w:id="1">
    <w:p w:rsidR="00851F18" w:rsidRDefault="00851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18" w:rsidRDefault="00851F18">
      <w:r>
        <w:separator/>
      </w:r>
    </w:p>
  </w:footnote>
  <w:footnote w:type="continuationSeparator" w:id="1">
    <w:p w:rsidR="00851F18" w:rsidRDefault="00851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0E7748"/>
    <w:multiLevelType w:val="singleLevel"/>
    <w:tmpl w:val="F90E7748"/>
    <w:lvl w:ilvl="0">
      <w:start w:val="1"/>
      <w:numFmt w:val="decimal"/>
      <w:suff w:val="space"/>
      <w:lvlText w:val="%1)"/>
      <w:lvlJc w:val="left"/>
    </w:lvl>
  </w:abstractNum>
  <w:abstractNum w:abstractNumId="1">
    <w:nsid w:val="77097763"/>
    <w:multiLevelType w:val="multilevel"/>
    <w:tmpl w:val="7709776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456A79"/>
    <w:rsid w:val="000618E7"/>
    <w:rsid w:val="000879E7"/>
    <w:rsid w:val="000C1D46"/>
    <w:rsid w:val="000E49AC"/>
    <w:rsid w:val="000F3CB8"/>
    <w:rsid w:val="001166E5"/>
    <w:rsid w:val="00165C77"/>
    <w:rsid w:val="001F196D"/>
    <w:rsid w:val="00220012"/>
    <w:rsid w:val="00236298"/>
    <w:rsid w:val="00297C30"/>
    <w:rsid w:val="00313719"/>
    <w:rsid w:val="00352D3D"/>
    <w:rsid w:val="00373340"/>
    <w:rsid w:val="003F64D4"/>
    <w:rsid w:val="00456A79"/>
    <w:rsid w:val="004678D9"/>
    <w:rsid w:val="00482962"/>
    <w:rsid w:val="004C465C"/>
    <w:rsid w:val="004D5A7D"/>
    <w:rsid w:val="004D6364"/>
    <w:rsid w:val="005031DD"/>
    <w:rsid w:val="005075A1"/>
    <w:rsid w:val="00511165"/>
    <w:rsid w:val="00516788"/>
    <w:rsid w:val="005844DE"/>
    <w:rsid w:val="005B477A"/>
    <w:rsid w:val="005C0769"/>
    <w:rsid w:val="005C2532"/>
    <w:rsid w:val="005C4AA8"/>
    <w:rsid w:val="005D4C00"/>
    <w:rsid w:val="005F39D9"/>
    <w:rsid w:val="00614BC5"/>
    <w:rsid w:val="0064686F"/>
    <w:rsid w:val="00680FC4"/>
    <w:rsid w:val="006C1558"/>
    <w:rsid w:val="007002AE"/>
    <w:rsid w:val="00737AC5"/>
    <w:rsid w:val="0077711D"/>
    <w:rsid w:val="007B2183"/>
    <w:rsid w:val="007C13F7"/>
    <w:rsid w:val="00804DC3"/>
    <w:rsid w:val="00833C3E"/>
    <w:rsid w:val="00851F18"/>
    <w:rsid w:val="00873605"/>
    <w:rsid w:val="008C202C"/>
    <w:rsid w:val="008D2CAA"/>
    <w:rsid w:val="00901549"/>
    <w:rsid w:val="009136DC"/>
    <w:rsid w:val="0092224C"/>
    <w:rsid w:val="00943F4D"/>
    <w:rsid w:val="00982609"/>
    <w:rsid w:val="009A1820"/>
    <w:rsid w:val="009A255A"/>
    <w:rsid w:val="009B5C7E"/>
    <w:rsid w:val="009D2C89"/>
    <w:rsid w:val="009D508D"/>
    <w:rsid w:val="00AB441A"/>
    <w:rsid w:val="00AE1EEF"/>
    <w:rsid w:val="00B15DBE"/>
    <w:rsid w:val="00B6548E"/>
    <w:rsid w:val="00B65776"/>
    <w:rsid w:val="00B85DC1"/>
    <w:rsid w:val="00C021BB"/>
    <w:rsid w:val="00C353E9"/>
    <w:rsid w:val="00C44E61"/>
    <w:rsid w:val="00C56167"/>
    <w:rsid w:val="00C669AF"/>
    <w:rsid w:val="00CA3B53"/>
    <w:rsid w:val="00CC756B"/>
    <w:rsid w:val="00CF7FC6"/>
    <w:rsid w:val="00D961FC"/>
    <w:rsid w:val="00E03F90"/>
    <w:rsid w:val="00EA77A3"/>
    <w:rsid w:val="00F323D6"/>
    <w:rsid w:val="00F95833"/>
    <w:rsid w:val="00FB4EFC"/>
    <w:rsid w:val="00FD185E"/>
    <w:rsid w:val="00FF24D8"/>
    <w:rsid w:val="08D63B46"/>
    <w:rsid w:val="0CD41351"/>
    <w:rsid w:val="2377256B"/>
    <w:rsid w:val="2E6305C3"/>
    <w:rsid w:val="3415470A"/>
    <w:rsid w:val="3AA95D34"/>
    <w:rsid w:val="443479AA"/>
    <w:rsid w:val="4E3C1C7C"/>
    <w:rsid w:val="6FC93631"/>
    <w:rsid w:val="77265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98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629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2362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236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36298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36298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236298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5</cp:revision>
  <cp:lastPrinted>2025-09-03T06:43:00Z</cp:lastPrinted>
  <dcterms:created xsi:type="dcterms:W3CDTF">2024-03-25T02:34:00Z</dcterms:created>
  <dcterms:modified xsi:type="dcterms:W3CDTF">2026-04-14T05:55:00Z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73E56C465D5948A4BFC6BE1FA552E5FE_13</vt:lpwstr>
  </property>
</Properties>
</file>